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63" w:rsidRDefault="009E792F">
      <w:pPr>
        <w:tabs>
          <w:tab w:val="left" w:pos="993"/>
          <w:tab w:val="left" w:pos="9720"/>
        </w:tabs>
        <w:ind w:firstLine="709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СООБЩЕНИЕ</w:t>
      </w:r>
    </w:p>
    <w:p w:rsidR="00522563" w:rsidRDefault="009E792F">
      <w:pPr>
        <w:shd w:val="clear" w:color="auto" w:fill="FFFFFF"/>
        <w:tabs>
          <w:tab w:val="left" w:pos="993"/>
          <w:tab w:val="left" w:pos="9720"/>
        </w:tabs>
        <w:ind w:firstLine="709"/>
        <w:jc w:val="center"/>
        <w:rPr>
          <w:b/>
          <w:color w:val="000000"/>
          <w:spacing w:val="-6"/>
          <w:sz w:val="21"/>
          <w:szCs w:val="21"/>
        </w:rPr>
      </w:pPr>
      <w:r>
        <w:rPr>
          <w:b/>
          <w:color w:val="000000"/>
          <w:spacing w:val="-6"/>
          <w:sz w:val="21"/>
          <w:szCs w:val="21"/>
        </w:rPr>
        <w:t>о проведении годового общего собрания акционеров</w:t>
      </w:r>
    </w:p>
    <w:p w:rsidR="00522563" w:rsidRDefault="009E792F">
      <w:pPr>
        <w:shd w:val="clear" w:color="auto" w:fill="FFFFFF"/>
        <w:tabs>
          <w:tab w:val="left" w:pos="993"/>
          <w:tab w:val="left" w:leader="underscore" w:pos="8789"/>
        </w:tabs>
        <w:ind w:firstLine="709"/>
        <w:jc w:val="center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Акционерного общества </w:t>
      </w:r>
      <w:r>
        <w:rPr>
          <w:bCs/>
          <w:spacing w:val="-7"/>
          <w:sz w:val="21"/>
          <w:szCs w:val="21"/>
        </w:rPr>
        <w:t>«Газпром газораспределение Липецк</w:t>
      </w:r>
      <w:r>
        <w:rPr>
          <w:bCs/>
          <w:sz w:val="21"/>
          <w:szCs w:val="21"/>
        </w:rPr>
        <w:t xml:space="preserve">» </w:t>
      </w:r>
    </w:p>
    <w:p w:rsidR="00522563" w:rsidRDefault="009E792F">
      <w:pPr>
        <w:shd w:val="clear" w:color="auto" w:fill="FFFFFF"/>
        <w:tabs>
          <w:tab w:val="left" w:pos="993"/>
          <w:tab w:val="left" w:leader="underscore" w:pos="8789"/>
        </w:tabs>
        <w:ind w:firstLine="709"/>
        <w:jc w:val="center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(АО «Газпром газораспределение Липецк») </w:t>
      </w:r>
    </w:p>
    <w:p w:rsidR="00522563" w:rsidRDefault="00522563">
      <w:pPr>
        <w:shd w:val="clear" w:color="auto" w:fill="FFFFFF"/>
        <w:tabs>
          <w:tab w:val="left" w:pos="993"/>
          <w:tab w:val="left" w:pos="9720"/>
        </w:tabs>
        <w:ind w:firstLine="709"/>
        <w:jc w:val="center"/>
        <w:rPr>
          <w:color w:val="000000"/>
          <w:sz w:val="21"/>
          <w:szCs w:val="21"/>
        </w:rPr>
      </w:pPr>
    </w:p>
    <w:p w:rsidR="00522563" w:rsidRDefault="009E792F">
      <w:pPr>
        <w:pStyle w:val="1"/>
        <w:tabs>
          <w:tab w:val="left" w:pos="993"/>
          <w:tab w:val="left" w:pos="9720"/>
        </w:tabs>
        <w:spacing w:after="60"/>
        <w:ind w:firstLine="709"/>
        <w:rPr>
          <w:bCs w:val="0"/>
          <w:spacing w:val="0"/>
          <w:sz w:val="21"/>
          <w:szCs w:val="21"/>
        </w:rPr>
      </w:pPr>
      <w:r>
        <w:rPr>
          <w:bCs w:val="0"/>
          <w:spacing w:val="0"/>
          <w:sz w:val="21"/>
          <w:szCs w:val="21"/>
        </w:rPr>
        <w:t>УВАЖАЕМЫЙ АКЦИОНЕР!</w:t>
      </w:r>
    </w:p>
    <w:p w:rsidR="00522563" w:rsidRPr="00EE09E5" w:rsidRDefault="009E792F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spacing w:val="-2"/>
          <w:sz w:val="21"/>
          <w:szCs w:val="21"/>
        </w:rPr>
      </w:pPr>
      <w:r w:rsidRPr="00EE09E5">
        <w:rPr>
          <w:sz w:val="21"/>
          <w:szCs w:val="21"/>
        </w:rPr>
        <w:t xml:space="preserve">Совет директоров </w:t>
      </w:r>
      <w:r w:rsidRPr="00EE09E5">
        <w:rPr>
          <w:bCs/>
          <w:iCs/>
          <w:sz w:val="21"/>
          <w:szCs w:val="21"/>
        </w:rPr>
        <w:t>акционерного общества «Газпром газораспределение Липецк»</w:t>
      </w:r>
      <w:r w:rsidRPr="00EE09E5">
        <w:rPr>
          <w:iCs/>
          <w:sz w:val="21"/>
          <w:szCs w:val="21"/>
        </w:rPr>
        <w:t xml:space="preserve"> (далее – Общество) </w:t>
      </w:r>
      <w:r w:rsidRPr="00EE09E5">
        <w:rPr>
          <w:sz w:val="21"/>
          <w:szCs w:val="21"/>
        </w:rPr>
        <w:t>уведомляет Вас о проведении годового о</w:t>
      </w:r>
      <w:r w:rsidRPr="00EE09E5">
        <w:rPr>
          <w:spacing w:val="-2"/>
          <w:sz w:val="21"/>
          <w:szCs w:val="21"/>
        </w:rPr>
        <w:t>бщего собрания акционеров.</w:t>
      </w:r>
    </w:p>
    <w:p w:rsidR="00522563" w:rsidRPr="00EE09E5" w:rsidRDefault="009E792F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sz w:val="21"/>
          <w:szCs w:val="21"/>
        </w:rPr>
      </w:pPr>
      <w:r w:rsidRPr="00EE09E5">
        <w:rPr>
          <w:bCs/>
          <w:sz w:val="21"/>
          <w:szCs w:val="21"/>
        </w:rPr>
        <w:t xml:space="preserve">Место нахождения Общества: </w:t>
      </w:r>
      <w:r w:rsidRPr="00EE09E5">
        <w:rPr>
          <w:spacing w:val="-1"/>
          <w:sz w:val="21"/>
          <w:szCs w:val="21"/>
        </w:rPr>
        <w:t xml:space="preserve">Российская Федерация, </w:t>
      </w:r>
      <w:r w:rsidRPr="00EE09E5">
        <w:rPr>
          <w:sz w:val="21"/>
          <w:szCs w:val="21"/>
        </w:rPr>
        <w:t>город Липецк.</w:t>
      </w:r>
    </w:p>
    <w:p w:rsidR="00522563" w:rsidRPr="00EE09E5" w:rsidRDefault="009E792F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iCs/>
          <w:color w:val="000000" w:themeColor="text1"/>
          <w:spacing w:val="-1"/>
          <w:sz w:val="21"/>
          <w:szCs w:val="21"/>
        </w:rPr>
      </w:pPr>
      <w:r w:rsidRPr="00EE09E5">
        <w:rPr>
          <w:color w:val="000000" w:themeColor="text1"/>
          <w:spacing w:val="-2"/>
          <w:sz w:val="21"/>
          <w:szCs w:val="21"/>
        </w:rPr>
        <w:t>Форма проведения общего</w:t>
      </w:r>
      <w:r w:rsidRPr="00EE09E5">
        <w:rPr>
          <w:iCs/>
          <w:color w:val="000000" w:themeColor="text1"/>
          <w:spacing w:val="-1"/>
          <w:sz w:val="21"/>
          <w:szCs w:val="21"/>
        </w:rPr>
        <w:t xml:space="preserve"> собрания: </w:t>
      </w:r>
      <w:r w:rsidRPr="00EE09E5">
        <w:rPr>
          <w:b/>
          <w:iCs/>
          <w:color w:val="000000" w:themeColor="text1"/>
          <w:spacing w:val="-1"/>
          <w:sz w:val="21"/>
          <w:szCs w:val="21"/>
        </w:rPr>
        <w:t>заочное голосование.</w:t>
      </w:r>
    </w:p>
    <w:p w:rsidR="00522563" w:rsidRPr="00EE09E5" w:rsidRDefault="009E792F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1"/>
          <w:szCs w:val="21"/>
        </w:rPr>
      </w:pPr>
      <w:r w:rsidRPr="00EE09E5">
        <w:rPr>
          <w:bCs/>
          <w:color w:val="000000" w:themeColor="text1"/>
          <w:sz w:val="21"/>
          <w:szCs w:val="21"/>
        </w:rPr>
        <w:t>Дата проведения собрания</w:t>
      </w:r>
      <w:r w:rsidRPr="00EE09E5">
        <w:rPr>
          <w:rFonts w:eastAsiaTheme="minorHAnsi"/>
          <w:bCs/>
          <w:color w:val="000000" w:themeColor="text1"/>
          <w:sz w:val="21"/>
          <w:szCs w:val="21"/>
          <w:lang w:eastAsia="en-US"/>
        </w:rPr>
        <w:t xml:space="preserve"> (дата окончания приема бюллетеней для голосования):</w:t>
      </w:r>
      <w:r w:rsidRPr="00EE09E5">
        <w:rPr>
          <w:rFonts w:eastAsiaTheme="minorHAnsi"/>
          <w:b/>
          <w:bCs/>
          <w:color w:val="000000" w:themeColor="text1"/>
          <w:sz w:val="21"/>
          <w:szCs w:val="21"/>
          <w:lang w:eastAsia="en-US"/>
        </w:rPr>
        <w:t xml:space="preserve"> </w:t>
      </w:r>
      <w:r w:rsidR="005C70C7">
        <w:rPr>
          <w:b/>
          <w:bCs/>
          <w:color w:val="000000" w:themeColor="text1"/>
          <w:sz w:val="21"/>
          <w:szCs w:val="21"/>
        </w:rPr>
        <w:t>28 июня </w:t>
      </w:r>
      <w:r w:rsidR="00EE09E5">
        <w:rPr>
          <w:b/>
          <w:bCs/>
          <w:color w:val="000000" w:themeColor="text1"/>
          <w:sz w:val="21"/>
          <w:szCs w:val="21"/>
        </w:rPr>
        <w:t>2024 </w:t>
      </w:r>
      <w:r w:rsidRPr="00EE09E5">
        <w:rPr>
          <w:b/>
          <w:bCs/>
          <w:color w:val="000000" w:themeColor="text1"/>
          <w:sz w:val="21"/>
          <w:szCs w:val="21"/>
        </w:rPr>
        <w:t xml:space="preserve">года. </w:t>
      </w:r>
    </w:p>
    <w:p w:rsidR="00522563" w:rsidRPr="00EE09E5" w:rsidRDefault="009E792F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i/>
          <w:sz w:val="21"/>
          <w:szCs w:val="21"/>
        </w:rPr>
      </w:pPr>
      <w:r w:rsidRPr="00EE09E5">
        <w:rPr>
          <w:sz w:val="21"/>
          <w:szCs w:val="21"/>
        </w:rPr>
        <w:t xml:space="preserve">Почтовый адрес, по которому должны направляться заполненные бюллетени: 398059, Липецкая обл., г. Липецк, ул. М.И. Неделина, д. 25, </w:t>
      </w:r>
      <w:r w:rsidRPr="00EE09E5">
        <w:rPr>
          <w:rFonts w:eastAsia="Calibri"/>
          <w:spacing w:val="-3"/>
          <w:sz w:val="21"/>
          <w:szCs w:val="21"/>
          <w:lang w:eastAsia="en-US"/>
        </w:rPr>
        <w:t>АО «Газпром газораспределение Липецк»</w:t>
      </w:r>
      <w:r w:rsidRPr="00EE09E5">
        <w:rPr>
          <w:b/>
          <w:i/>
          <w:sz w:val="21"/>
          <w:szCs w:val="21"/>
        </w:rPr>
        <w:t xml:space="preserve">. </w:t>
      </w:r>
    </w:p>
    <w:p w:rsidR="00522563" w:rsidRPr="00EE09E5" w:rsidRDefault="009E792F">
      <w:pPr>
        <w:tabs>
          <w:tab w:val="left" w:pos="993"/>
        </w:tabs>
        <w:ind w:firstLine="709"/>
        <w:jc w:val="both"/>
        <w:rPr>
          <w:b/>
          <w:sz w:val="21"/>
          <w:szCs w:val="21"/>
        </w:rPr>
      </w:pPr>
      <w:r w:rsidRPr="00EE09E5">
        <w:rPr>
          <w:color w:val="000000" w:themeColor="text1"/>
          <w:sz w:val="21"/>
          <w:szCs w:val="21"/>
        </w:rPr>
        <w:t xml:space="preserve">Дата, на которую определяются (фиксируются) лица, имеющие право на участие в общем собрании: </w:t>
      </w:r>
      <w:r w:rsidRPr="00EE09E5">
        <w:rPr>
          <w:b/>
          <w:color w:val="000000" w:themeColor="text1"/>
          <w:spacing w:val="-2"/>
          <w:sz w:val="21"/>
          <w:szCs w:val="21"/>
        </w:rPr>
        <w:t>04 июня 2024 года</w:t>
      </w:r>
      <w:r w:rsidRPr="00EE09E5">
        <w:rPr>
          <w:b/>
          <w:color w:val="000000" w:themeColor="text1"/>
          <w:sz w:val="21"/>
          <w:szCs w:val="21"/>
        </w:rPr>
        <w:t>.</w:t>
      </w:r>
    </w:p>
    <w:p w:rsidR="00522563" w:rsidRPr="00EE09E5" w:rsidRDefault="009E792F">
      <w:pPr>
        <w:tabs>
          <w:tab w:val="left" w:pos="993"/>
        </w:tabs>
        <w:ind w:firstLine="709"/>
        <w:jc w:val="both"/>
        <w:rPr>
          <w:color w:val="000000"/>
          <w:sz w:val="21"/>
          <w:szCs w:val="21"/>
        </w:rPr>
      </w:pPr>
      <w:r w:rsidRPr="00EE09E5">
        <w:rPr>
          <w:color w:val="000000"/>
          <w:sz w:val="21"/>
          <w:szCs w:val="21"/>
        </w:rPr>
        <w:t xml:space="preserve">Категории (типы) акций, владельцы которых имеют право голоса по всем вопросам повестки дня общего собрания акционеров: </w:t>
      </w:r>
      <w:r w:rsidRPr="00EE09E5">
        <w:rPr>
          <w:b/>
          <w:color w:val="000000"/>
          <w:sz w:val="21"/>
          <w:szCs w:val="21"/>
        </w:rPr>
        <w:t>обыкновенные акции.</w:t>
      </w:r>
    </w:p>
    <w:p w:rsidR="00522563" w:rsidRDefault="00522563">
      <w:pPr>
        <w:shd w:val="clear" w:color="auto" w:fill="FFFFFF"/>
        <w:tabs>
          <w:tab w:val="left" w:pos="993"/>
          <w:tab w:val="left" w:pos="9720"/>
        </w:tabs>
        <w:ind w:firstLine="709"/>
        <w:jc w:val="center"/>
        <w:rPr>
          <w:b/>
          <w:color w:val="000000"/>
          <w:sz w:val="21"/>
          <w:szCs w:val="21"/>
        </w:rPr>
      </w:pPr>
    </w:p>
    <w:p w:rsidR="00522563" w:rsidRDefault="009E792F">
      <w:pPr>
        <w:shd w:val="clear" w:color="auto" w:fill="FFFFFF"/>
        <w:tabs>
          <w:tab w:val="left" w:pos="993"/>
          <w:tab w:val="left" w:pos="9720"/>
        </w:tabs>
        <w:ind w:firstLine="709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ПОВЕСТКА ДНЯ ОБЩЕГО СОБРАНИЯ АКЦИОНЕРОВ:</w:t>
      </w:r>
    </w:p>
    <w:p w:rsidR="00522563" w:rsidRDefault="00522563">
      <w:pPr>
        <w:shd w:val="clear" w:color="auto" w:fill="FFFFFF"/>
        <w:tabs>
          <w:tab w:val="left" w:pos="993"/>
          <w:tab w:val="left" w:pos="9720"/>
        </w:tabs>
        <w:ind w:firstLine="709"/>
        <w:jc w:val="center"/>
        <w:rPr>
          <w:b/>
          <w:color w:val="000000"/>
          <w:sz w:val="21"/>
          <w:szCs w:val="21"/>
        </w:rPr>
      </w:pP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1. Избрание председательствующего на годовом общем собрании акционеров Общества и секретаря собрания.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2.  Утверждение годового отчета Общества за 2023 год.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3. Утверждение годовой бухгалтерской (финансовой) отчетности Общества за 2023 год.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4. Распределение прибыли (в том числе выплата (объявление) дивидендов) и убытков Общества по результатам 2023 года.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5. О размере, сроках и форме выплаты дивидендов по результатам 2023 года.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6. О размере вознаграждений, выплачиваемых членам Совета директоров и членам ревизионной комиссии Общества по результатам работы в 2023 году.</w:t>
      </w:r>
      <w:bookmarkStart w:id="0" w:name="_GoBack"/>
      <w:bookmarkEnd w:id="0"/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7. Избрание членов Совета директоров Общества.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8. Избрание членов ревизионной комиссии Общества.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9. О назначении аудиторской организации Общества.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10. Распределение нераспределенной прибыли Общества по результатам 2022 года.</w:t>
      </w:r>
    </w:p>
    <w:p w:rsidR="00522563" w:rsidRDefault="009E79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1"/>
          <w:szCs w:val="21"/>
        </w:rPr>
      </w:pPr>
      <w:r>
        <w:rPr>
          <w:i/>
          <w:color w:val="000000"/>
          <w:sz w:val="21"/>
          <w:szCs w:val="21"/>
        </w:rPr>
        <w:t>11. Утверждение Устава Общества в новой редакции.</w:t>
      </w:r>
    </w:p>
    <w:p w:rsidR="00522563" w:rsidRDefault="00522563">
      <w:pPr>
        <w:shd w:val="clear" w:color="auto" w:fill="FFFFFF"/>
        <w:tabs>
          <w:tab w:val="left" w:pos="532"/>
          <w:tab w:val="left" w:pos="993"/>
        </w:tabs>
        <w:ind w:firstLine="709"/>
        <w:jc w:val="both"/>
        <w:rPr>
          <w:color w:val="000000"/>
          <w:sz w:val="21"/>
          <w:szCs w:val="21"/>
        </w:rPr>
      </w:pPr>
    </w:p>
    <w:p w:rsidR="00522563" w:rsidRDefault="009E792F">
      <w:pPr>
        <w:tabs>
          <w:tab w:val="left" w:pos="993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С информацией (материалами) по вопросам повестки дня годового общего собрания акционеров можно ознакомиться </w:t>
      </w:r>
      <w:r>
        <w:rPr>
          <w:b/>
          <w:color w:val="000000" w:themeColor="text1"/>
          <w:sz w:val="22"/>
          <w:szCs w:val="22"/>
        </w:rPr>
        <w:t xml:space="preserve">в течение двадцати дней </w:t>
      </w:r>
      <w:r>
        <w:rPr>
          <w:color w:val="000000" w:themeColor="text1"/>
          <w:sz w:val="22"/>
          <w:szCs w:val="22"/>
        </w:rPr>
        <w:t>до проведения годового общего собрания акционеров по адресу: г. Липецк, ул. М.И. Неделина, д. 25, с понедельника по пятницу с 10-00 часов до 16-00 часов, справки по тел. (4742) 23-84-35, контактное лицо – Оксана Юрьевна Кутьева.</w:t>
      </w:r>
    </w:p>
    <w:p w:rsidR="00522563" w:rsidRDefault="009E792F">
      <w:pPr>
        <w:tabs>
          <w:tab w:val="left" w:pos="993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Право на участие в общем собрании акционеров осуществляется акционером как лично, так и через своего представителя.</w:t>
      </w:r>
    </w:p>
    <w:p w:rsidR="00522563" w:rsidRDefault="009E792F">
      <w:pPr>
        <w:tabs>
          <w:tab w:val="left" w:pos="993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Акционеры, чьи права на ценные бумаги учитываются номинальным держателем, вправе принимать участие в общем собрании и осуществлять свое право голоса путем дачи указаний (инструкций) номинальному держателю. Порядок дачи указаний (инструкций) определяются договором с номинальным держателем.</w:t>
      </w:r>
    </w:p>
    <w:p w:rsidR="00522563" w:rsidRDefault="009E792F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Доверенность на голосование должна содержать сведения о представляемом и представителе (для физического лица - имя,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 Доверенность на голосование должна быть оформлена в соответствии с требованиями </w:t>
      </w:r>
      <w:hyperlink r:id="rId7" w:tooltip="consultantplus://offline/ref=E8A6DE5D2340E232D26F92EFCE4A7092BCFBFF6F5BF3FDD6BE71C61629C81A6E416FF7BCEBFA3E954C52FA28D789A490E4BBE2C006M9v5L" w:history="1">
        <w:r>
          <w:rPr>
            <w:rFonts w:eastAsiaTheme="minorHAnsi"/>
            <w:color w:val="000000" w:themeColor="text1"/>
            <w:sz w:val="22"/>
            <w:szCs w:val="22"/>
            <w:lang w:eastAsia="en-US"/>
          </w:rPr>
          <w:t>пунктов 3</w:t>
        </w:r>
      </w:hyperlink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и </w:t>
      </w:r>
      <w:hyperlink r:id="rId8" w:tooltip="consultantplus://offline/ref=E8A6DE5D2340E232D26F92EFCE4A7092BCFBFF6F5BF3FDD6BE71C61629C81A6E416FF7BCEBFB3E954C52FA28D789A490E4BBE2C006M9v5L" w:history="1">
        <w:r>
          <w:rPr>
            <w:rFonts w:eastAsiaTheme="minorHAnsi"/>
            <w:color w:val="000000" w:themeColor="text1"/>
            <w:sz w:val="22"/>
            <w:szCs w:val="22"/>
            <w:lang w:eastAsia="en-US"/>
          </w:rPr>
          <w:t>4 статьи 185.1</w:t>
        </w:r>
      </w:hyperlink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Гражданского кодекса Российской Федерации или удостоверена нотариально.</w:t>
      </w:r>
    </w:p>
    <w:p w:rsidR="00522563" w:rsidRDefault="009E792F">
      <w:pPr>
        <w:shd w:val="clear" w:color="auto" w:fill="FFFFFF"/>
        <w:tabs>
          <w:tab w:val="left" w:pos="993"/>
          <w:tab w:val="left" w:pos="9923"/>
        </w:tabs>
        <w:ind w:firstLine="709"/>
        <w:jc w:val="both"/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Документы, удостоверяющие полномочия правопреемников и представителей лиц, включенных в список лиц, имеющих право на участие в общем собрании (их копии, засвидетельствованные нотариально), должны быть </w:t>
      </w:r>
      <w:r>
        <w:rPr>
          <w:bCs/>
          <w:iCs/>
          <w:color w:val="000000" w:themeColor="text1"/>
          <w:sz w:val="22"/>
          <w:szCs w:val="22"/>
        </w:rPr>
        <w:t>направлены вместе с бюллетенем для голосования</w:t>
      </w:r>
      <w:r>
        <w:rPr>
          <w:iCs/>
          <w:color w:val="000000" w:themeColor="text1"/>
          <w:sz w:val="22"/>
          <w:szCs w:val="22"/>
        </w:rPr>
        <w:t>.</w:t>
      </w:r>
    </w:p>
    <w:p w:rsidR="00522563" w:rsidRDefault="009E792F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>Принявшими участие в общем собрании акционеров считаются:</w:t>
      </w:r>
    </w:p>
    <w:p w:rsidR="00522563" w:rsidRDefault="009E792F">
      <w:pPr>
        <w:ind w:firstLine="709"/>
        <w:jc w:val="both"/>
        <w:rPr>
          <w:rFonts w:eastAsiaTheme="minorHAnsi"/>
          <w:i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- акционеры, бюллетени которых получены до даты окончания приема бюллетеней, последний день приема бюллетеней - </w:t>
      </w:r>
      <w:r>
        <w:rPr>
          <w:b/>
          <w:color w:val="000000" w:themeColor="text1"/>
          <w:spacing w:val="-2"/>
          <w:sz w:val="22"/>
          <w:szCs w:val="22"/>
        </w:rPr>
        <w:t>27 июня 2024</w:t>
      </w:r>
      <w:bookmarkStart w:id="1" w:name="undefined"/>
      <w:bookmarkEnd w:id="1"/>
      <w:r>
        <w:rPr>
          <w:b/>
          <w:color w:val="000000" w:themeColor="text1"/>
          <w:spacing w:val="-2"/>
          <w:sz w:val="22"/>
          <w:szCs w:val="22"/>
        </w:rPr>
        <w:t xml:space="preserve"> года</w:t>
      </w:r>
      <w:r>
        <w:rPr>
          <w:b/>
          <w:color w:val="000000" w:themeColor="text1"/>
          <w:sz w:val="22"/>
          <w:szCs w:val="22"/>
        </w:rPr>
        <w:t xml:space="preserve">. </w:t>
      </w:r>
    </w:p>
    <w:p w:rsidR="00522563" w:rsidRDefault="009E792F">
      <w:pPr>
        <w:ind w:firstLine="709"/>
        <w:jc w:val="both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>-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до даты окончания приема бюллетеней.</w:t>
      </w:r>
    </w:p>
    <w:p w:rsidR="00522563" w:rsidRDefault="00522563">
      <w:pPr>
        <w:shd w:val="clear" w:color="auto" w:fill="FFFFFF"/>
        <w:tabs>
          <w:tab w:val="left" w:pos="567"/>
        </w:tabs>
        <w:jc w:val="right"/>
        <w:rPr>
          <w:i/>
          <w:spacing w:val="-2"/>
          <w:sz w:val="21"/>
          <w:szCs w:val="21"/>
        </w:rPr>
      </w:pPr>
    </w:p>
    <w:sectPr w:rsidR="00522563">
      <w:pgSz w:w="11909" w:h="16834"/>
      <w:pgMar w:top="426" w:right="710" w:bottom="142" w:left="1418" w:header="720" w:footer="720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42B" w:rsidRDefault="003C042B">
      <w:r>
        <w:separator/>
      </w:r>
    </w:p>
  </w:endnote>
  <w:endnote w:type="continuationSeparator" w:id="0">
    <w:p w:rsidR="003C042B" w:rsidRDefault="003C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42B" w:rsidRDefault="003C042B">
      <w:r>
        <w:separator/>
      </w:r>
    </w:p>
  </w:footnote>
  <w:footnote w:type="continuationSeparator" w:id="0">
    <w:p w:rsidR="003C042B" w:rsidRDefault="003C0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D1234"/>
    <w:multiLevelType w:val="hybridMultilevel"/>
    <w:tmpl w:val="EB78EF42"/>
    <w:lvl w:ilvl="0" w:tplc="5D0CE9EA">
      <w:start w:val="1"/>
      <w:numFmt w:val="decimal"/>
      <w:lvlText w:val="%1."/>
      <w:lvlJc w:val="left"/>
      <w:pPr>
        <w:ind w:left="3480" w:hanging="360"/>
      </w:pPr>
    </w:lvl>
    <w:lvl w:ilvl="1" w:tplc="492EB9D8">
      <w:start w:val="1"/>
      <w:numFmt w:val="lowerLetter"/>
      <w:lvlText w:val="%2."/>
      <w:lvlJc w:val="left"/>
      <w:pPr>
        <w:ind w:left="4908" w:hanging="360"/>
      </w:pPr>
    </w:lvl>
    <w:lvl w:ilvl="2" w:tplc="45DA095E">
      <w:start w:val="1"/>
      <w:numFmt w:val="lowerRoman"/>
      <w:lvlText w:val="%3."/>
      <w:lvlJc w:val="right"/>
      <w:pPr>
        <w:ind w:left="5628" w:hanging="180"/>
      </w:pPr>
    </w:lvl>
    <w:lvl w:ilvl="3" w:tplc="97CCE484">
      <w:start w:val="1"/>
      <w:numFmt w:val="decimal"/>
      <w:lvlText w:val="%4."/>
      <w:lvlJc w:val="left"/>
      <w:pPr>
        <w:ind w:left="6348" w:hanging="360"/>
      </w:pPr>
    </w:lvl>
    <w:lvl w:ilvl="4" w:tplc="4F74A712">
      <w:start w:val="1"/>
      <w:numFmt w:val="lowerLetter"/>
      <w:lvlText w:val="%5."/>
      <w:lvlJc w:val="left"/>
      <w:pPr>
        <w:ind w:left="7068" w:hanging="360"/>
      </w:pPr>
    </w:lvl>
    <w:lvl w:ilvl="5" w:tplc="F15E583E">
      <w:start w:val="1"/>
      <w:numFmt w:val="lowerRoman"/>
      <w:lvlText w:val="%6."/>
      <w:lvlJc w:val="right"/>
      <w:pPr>
        <w:ind w:left="7788" w:hanging="180"/>
      </w:pPr>
    </w:lvl>
    <w:lvl w:ilvl="6" w:tplc="CE2E34AE">
      <w:start w:val="1"/>
      <w:numFmt w:val="decimal"/>
      <w:lvlText w:val="%7."/>
      <w:lvlJc w:val="left"/>
      <w:pPr>
        <w:ind w:left="8508" w:hanging="360"/>
      </w:pPr>
    </w:lvl>
    <w:lvl w:ilvl="7" w:tplc="50B6B04A">
      <w:start w:val="1"/>
      <w:numFmt w:val="lowerLetter"/>
      <w:lvlText w:val="%8."/>
      <w:lvlJc w:val="left"/>
      <w:pPr>
        <w:ind w:left="9228" w:hanging="360"/>
      </w:pPr>
    </w:lvl>
    <w:lvl w:ilvl="8" w:tplc="7BA04B44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66910AC5"/>
    <w:multiLevelType w:val="hybridMultilevel"/>
    <w:tmpl w:val="94AE68C4"/>
    <w:lvl w:ilvl="0" w:tplc="B4966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EB09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5908CB2">
      <w:start w:val="1"/>
      <w:numFmt w:val="lowerRoman"/>
      <w:lvlText w:val="%3."/>
      <w:lvlJc w:val="right"/>
      <w:pPr>
        <w:ind w:left="2160" w:hanging="180"/>
      </w:pPr>
    </w:lvl>
    <w:lvl w:ilvl="3" w:tplc="28DCF892">
      <w:start w:val="1"/>
      <w:numFmt w:val="decimal"/>
      <w:lvlText w:val="%4."/>
      <w:lvlJc w:val="left"/>
      <w:pPr>
        <w:ind w:left="2880" w:hanging="360"/>
      </w:pPr>
    </w:lvl>
    <w:lvl w:ilvl="4" w:tplc="BD04B37C">
      <w:start w:val="1"/>
      <w:numFmt w:val="lowerLetter"/>
      <w:lvlText w:val="%5."/>
      <w:lvlJc w:val="left"/>
      <w:pPr>
        <w:ind w:left="3600" w:hanging="360"/>
      </w:pPr>
    </w:lvl>
    <w:lvl w:ilvl="5" w:tplc="08D0590A">
      <w:start w:val="1"/>
      <w:numFmt w:val="lowerRoman"/>
      <w:lvlText w:val="%6."/>
      <w:lvlJc w:val="right"/>
      <w:pPr>
        <w:ind w:left="4320" w:hanging="180"/>
      </w:pPr>
    </w:lvl>
    <w:lvl w:ilvl="6" w:tplc="5F548566">
      <w:start w:val="1"/>
      <w:numFmt w:val="decimal"/>
      <w:lvlText w:val="%7."/>
      <w:lvlJc w:val="left"/>
      <w:pPr>
        <w:ind w:left="5040" w:hanging="360"/>
      </w:pPr>
    </w:lvl>
    <w:lvl w:ilvl="7" w:tplc="05EA23C0">
      <w:start w:val="1"/>
      <w:numFmt w:val="lowerLetter"/>
      <w:lvlText w:val="%8."/>
      <w:lvlJc w:val="left"/>
      <w:pPr>
        <w:ind w:left="5760" w:hanging="360"/>
      </w:pPr>
    </w:lvl>
    <w:lvl w:ilvl="8" w:tplc="F80EDF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63"/>
    <w:rsid w:val="003C042B"/>
    <w:rsid w:val="00522563"/>
    <w:rsid w:val="005C70C7"/>
    <w:rsid w:val="007231DD"/>
    <w:rsid w:val="009E792F"/>
    <w:rsid w:val="00EE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E069"/>
  <w15:docId w15:val="{04E49AE7-6C3C-4143-97F8-CA62CFB1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jc w:val="center"/>
      <w:outlineLvl w:val="0"/>
    </w:pPr>
    <w:rPr>
      <w:b/>
      <w:bCs/>
      <w:color w:val="000000"/>
      <w:spacing w:val="-6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color w:val="000000"/>
      <w:spacing w:val="-6"/>
      <w:shd w:val="clear" w:color="auto" w:fill="FFFFFF"/>
      <w:lang w:eastAsia="ru-RU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</w:style>
  <w:style w:type="character" w:styleId="af9">
    <w:name w:val="Hyperlink"/>
    <w:basedOn w:val="a0"/>
    <w:uiPriority w:val="99"/>
    <w:semiHidden/>
    <w:unhideWhenUsed/>
    <w:rPr>
      <w:color w:val="0563C1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7231DD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231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6DE5D2340E232D26F92EFCE4A7092BCFBFF6F5BF3FDD6BE71C61629C81A6E416FF7BCEBFB3E954C52FA28D789A490E4BBE2C006M9v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A6DE5D2340E232D26F92EFCE4A7092BCFBFF6F5BF3FDD6BE71C61629C81A6E416FF7BCEBFA3E954C52FA28D789A490E4BBE2C006M9v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Кунаева Маргарита Викторовна</dc:creator>
  <cp:lastModifiedBy>Kuteva</cp:lastModifiedBy>
  <cp:revision>8</cp:revision>
  <cp:lastPrinted>2024-06-04T14:13:00Z</cp:lastPrinted>
  <dcterms:created xsi:type="dcterms:W3CDTF">2023-05-11T12:20:00Z</dcterms:created>
  <dcterms:modified xsi:type="dcterms:W3CDTF">2024-06-04T14:25:00Z</dcterms:modified>
</cp:coreProperties>
</file>